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inbouw zwart V3.0</w:t>
      </w:r>
    </w:p>
    <w:p/>
    <w:p>
      <w:pPr/>
      <w:r>
        <w:rPr/>
        <w:t xml:space="preserve">Dimensions (L x W x H): 32 x 103 x 103 mm; With motion detector: Ja; Manufacturer's Warranty: 5 jaar; Settings via: ETS-software, Bluetooth, Bus; With remote control: Nee; Version: KNX - inbouw zwart; PU1, EAN: 4007841068516;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zwart; Colour, RAL: 9005; Includes corner wall mount: Nee; Installation site: plafond; Installation: In de muur, Plafond; IP-rating: IP20; Ambient temperature: van 0 tot 40 °C; Materiaal: kunststof; With bus coupling: Ja; Technology, sensors: Hoogfrequente straling;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Time setting: 30 sec. – 1092 min; Main light adjustable: 0 - 100 %; Twilight setting TEACH: Nee; Constant-lighting control: Ja; KNX functions: basislichtfunctie, HVAC-uitgang, Lichtuitgang 4x, Luchtvochtigheid-uitgang, Aanwezigheid-uitgang, Dag- / nachtfunctie, Dauwpunt, Temperatuuruitgang, Logische poort; Interconnection: Ja; Type of interconnection: Master/master, Master/slave; Interconnection via: KNX-bus;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068516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KNX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2025-05-15T01:22:18+02:00</dcterms:created>
  <dcterms:modified xsi:type="dcterms:W3CDTF">2025-05-15T01:22:18+02:00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